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8727" w14:textId="77777777" w:rsidR="00877097" w:rsidRPr="00877097" w:rsidRDefault="00877097" w:rsidP="00877097">
      <w:pPr>
        <w:jc w:val="center"/>
        <w:rPr>
          <w:rFonts w:eastAsia="Calibri"/>
          <w:lang w:val="fr-FR"/>
        </w:rPr>
      </w:pPr>
      <w:r w:rsidRPr="00877097">
        <w:rPr>
          <w:rFonts w:eastAsia="Calibri"/>
          <w:b/>
          <w:color w:val="000000"/>
          <w:lang w:val="fr-FR" w:eastAsia="fr-FR"/>
        </w:rPr>
        <w:t>REPUBLIQUE ISLAMIQUE DE MAURITANIE</w:t>
      </w:r>
    </w:p>
    <w:p w14:paraId="24858FC1" w14:textId="77777777" w:rsidR="00877097" w:rsidRPr="00877097" w:rsidRDefault="00877097" w:rsidP="00877097">
      <w:pPr>
        <w:tabs>
          <w:tab w:val="left" w:pos="1335"/>
        </w:tabs>
        <w:spacing w:after="120" w:line="276" w:lineRule="auto"/>
        <w:ind w:left="720"/>
        <w:contextualSpacing/>
        <w:jc w:val="center"/>
        <w:rPr>
          <w:b/>
          <w:color w:val="000000"/>
          <w:sz w:val="16"/>
          <w:szCs w:val="16"/>
          <w:lang w:val="fr-FR" w:eastAsia="fr-FR"/>
        </w:rPr>
      </w:pPr>
    </w:p>
    <w:p w14:paraId="32E89583" w14:textId="6705C97C" w:rsidR="00877097" w:rsidRPr="00877097" w:rsidRDefault="00877097" w:rsidP="00877097">
      <w:pPr>
        <w:jc w:val="center"/>
        <w:rPr>
          <w:rFonts w:eastAsia="Calibri"/>
          <w:b/>
          <w:smallCaps/>
          <w:lang w:val="fr-FR"/>
        </w:rPr>
      </w:pPr>
      <w:r w:rsidRPr="00877097">
        <w:rPr>
          <w:rFonts w:eastAsia="Calibri"/>
          <w:b/>
          <w:smallCaps/>
          <w:lang w:val="fr-FR"/>
        </w:rPr>
        <w:t>MINISTERE DE LA TRANSFORMATION NUMERIQUE</w:t>
      </w:r>
      <w:r>
        <w:rPr>
          <w:rFonts w:eastAsia="Calibri"/>
          <w:b/>
          <w:smallCaps/>
          <w:lang w:val="fr-FR"/>
        </w:rPr>
        <w:t xml:space="preserve"> </w:t>
      </w:r>
      <w:r w:rsidRPr="00877097">
        <w:rPr>
          <w:rFonts w:eastAsia="Calibri"/>
          <w:b/>
          <w:smallCaps/>
          <w:lang w:val="fr-FR"/>
        </w:rPr>
        <w:t>ET DE LA MODERNISATION DE L’ADMINISTRATION (MTNMA)</w:t>
      </w:r>
    </w:p>
    <w:p w14:paraId="1FBC977C" w14:textId="77777777" w:rsidR="00877097" w:rsidRPr="00877097" w:rsidRDefault="00877097" w:rsidP="00877097">
      <w:pPr>
        <w:shd w:val="clear" w:color="auto" w:fill="FFFFFF"/>
        <w:spacing w:after="120"/>
        <w:jc w:val="center"/>
        <w:rPr>
          <w:b/>
          <w:color w:val="000000"/>
          <w:lang w:val="fr-FR" w:eastAsia="fr-FR"/>
        </w:rPr>
      </w:pPr>
      <w:r w:rsidRPr="00877097">
        <w:rPr>
          <w:b/>
          <w:color w:val="000000"/>
          <w:lang w:val="fr-FR" w:eastAsia="fr-FR"/>
        </w:rPr>
        <w:t>Projet Régional d'Intégration Numérique en Afrique de l'Ouest (WARDIP)</w:t>
      </w:r>
    </w:p>
    <w:p w14:paraId="6E534874" w14:textId="77777777" w:rsidR="00877097" w:rsidRPr="004A5A51" w:rsidRDefault="00877097" w:rsidP="004A5A51">
      <w:pPr>
        <w:shd w:val="clear" w:color="auto" w:fill="FFFFFF"/>
        <w:spacing w:before="240" w:after="120"/>
        <w:jc w:val="center"/>
        <w:rPr>
          <w:b/>
          <w:color w:val="000000"/>
          <w:sz w:val="28"/>
          <w:szCs w:val="28"/>
          <w:lang w:val="fr-FR" w:eastAsia="fr-FR"/>
        </w:rPr>
      </w:pPr>
      <w:r w:rsidRPr="004A5A51">
        <w:rPr>
          <w:b/>
          <w:color w:val="000000"/>
          <w:sz w:val="28"/>
          <w:szCs w:val="28"/>
          <w:lang w:val="fr-FR" w:eastAsia="fr-FR"/>
        </w:rPr>
        <w:t>AVIS D’UNE SELECTION INITIALE</w:t>
      </w:r>
    </w:p>
    <w:p w14:paraId="0C0F8C5F" w14:textId="25194A02" w:rsidR="00877097" w:rsidRPr="00877097" w:rsidRDefault="00877097" w:rsidP="00A32849">
      <w:pPr>
        <w:shd w:val="clear" w:color="auto" w:fill="FFFFFF"/>
        <w:spacing w:before="120" w:after="120"/>
        <w:jc w:val="center"/>
        <w:rPr>
          <w:b/>
          <w:color w:val="000000"/>
          <w:u w:val="single"/>
          <w:lang w:val="fr-FR" w:eastAsia="fr-FR"/>
        </w:rPr>
      </w:pPr>
      <w:r w:rsidRPr="00877097">
        <w:rPr>
          <w:b/>
          <w:color w:val="000000"/>
          <w:u w:val="single"/>
          <w:lang w:val="fr-FR" w:eastAsia="fr-FR"/>
        </w:rPr>
        <w:t>ASI_ 0</w:t>
      </w:r>
      <w:r w:rsidR="001D3EDC">
        <w:rPr>
          <w:b/>
          <w:color w:val="000000"/>
          <w:u w:val="single"/>
          <w:lang w:val="fr-FR" w:eastAsia="fr-FR"/>
        </w:rPr>
        <w:t>3</w:t>
      </w:r>
      <w:r w:rsidRPr="00877097">
        <w:rPr>
          <w:b/>
          <w:color w:val="000000"/>
          <w:u w:val="single"/>
          <w:lang w:val="fr-FR" w:eastAsia="fr-FR"/>
        </w:rPr>
        <w:t>/SI/MTNMA/WARDIP/202</w:t>
      </w:r>
      <w:r>
        <w:rPr>
          <w:b/>
          <w:color w:val="000000"/>
          <w:u w:val="single"/>
          <w:lang w:val="fr-FR" w:eastAsia="fr-FR"/>
        </w:rPr>
        <w:t>5 (AMI-2</w:t>
      </w:r>
      <w:r w:rsidR="00EF3BA8">
        <w:rPr>
          <w:b/>
          <w:color w:val="000000"/>
          <w:u w:val="single"/>
          <w:lang w:val="fr-FR" w:eastAsia="fr-FR"/>
        </w:rPr>
        <w:t>6</w:t>
      </w:r>
      <w:r>
        <w:rPr>
          <w:b/>
          <w:color w:val="000000"/>
          <w:u w:val="single"/>
          <w:lang w:val="fr-FR" w:eastAsia="fr-FR"/>
        </w:rPr>
        <w:t>)</w:t>
      </w:r>
      <w:r w:rsidRPr="00877097">
        <w:rPr>
          <w:b/>
          <w:color w:val="000000"/>
          <w:u w:val="single"/>
          <w:lang w:val="fr-FR" w:eastAsia="fr-FR"/>
        </w:rPr>
        <w:t xml:space="preserve"> </w:t>
      </w:r>
    </w:p>
    <w:p w14:paraId="5BDA983B" w14:textId="77777777" w:rsidR="00294DF6" w:rsidRDefault="00294DF6" w:rsidP="00877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center"/>
        <w:rPr>
          <w:b/>
          <w:bCs/>
          <w:lang w:val="fr-FR"/>
        </w:rPr>
      </w:pPr>
    </w:p>
    <w:p w14:paraId="4B88C04C" w14:textId="6C0F05BE" w:rsidR="00877097" w:rsidRDefault="00294DF6" w:rsidP="00877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center"/>
        <w:rPr>
          <w:b/>
          <w:bCs/>
          <w:lang w:val="fr-FR"/>
        </w:rPr>
      </w:pPr>
      <w:r w:rsidRPr="00294DF6">
        <w:rPr>
          <w:b/>
          <w:bCs/>
          <w:lang w:val="fr-FR"/>
        </w:rPr>
        <w:t>Mise en place d’un système de paiement instantané en Mauritanie permettant l’interopérabilité des services financiers</w:t>
      </w:r>
    </w:p>
    <w:p w14:paraId="49819170" w14:textId="77777777" w:rsidR="00294DF6" w:rsidRPr="00877097" w:rsidRDefault="00294DF6" w:rsidP="00877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center"/>
        <w:rPr>
          <w:b/>
          <w:bCs/>
          <w:lang w:val="fr-FR"/>
        </w:rPr>
      </w:pPr>
    </w:p>
    <w:p w14:paraId="43E605EE" w14:textId="3C13CAAD" w:rsidR="002144B5" w:rsidRPr="00B17B5B" w:rsidRDefault="002144B5" w:rsidP="00A32849">
      <w:pPr>
        <w:spacing w:before="80" w:after="80"/>
        <w:rPr>
          <w:b/>
          <w:bCs/>
          <w:i/>
          <w:iCs/>
          <w:lang w:val="fr-FR"/>
        </w:rPr>
      </w:pPr>
      <w:r w:rsidRPr="00B17B5B">
        <w:rPr>
          <w:b/>
          <w:lang w:val="fr-FR"/>
        </w:rPr>
        <w:t>Acheteur :</w:t>
      </w:r>
      <w:r w:rsidRPr="00B17B5B">
        <w:rPr>
          <w:lang w:val="fr-FR"/>
        </w:rPr>
        <w:t xml:space="preserve"> </w:t>
      </w:r>
      <w:proofErr w:type="gramStart"/>
      <w:r w:rsidRPr="00B17B5B">
        <w:rPr>
          <w:i/>
          <w:iCs/>
          <w:lang w:val="fr-FR"/>
        </w:rPr>
        <w:t>Ministère</w:t>
      </w:r>
      <w:proofErr w:type="gramEnd"/>
      <w:r w:rsidRPr="00B17B5B">
        <w:rPr>
          <w:i/>
          <w:iCs/>
          <w:lang w:val="fr-FR"/>
        </w:rPr>
        <w:t xml:space="preserve"> de la Transformation Numérique et de la Modernisation de l’Administration</w:t>
      </w:r>
      <w:r w:rsidRPr="00B17B5B">
        <w:rPr>
          <w:b/>
          <w:bCs/>
          <w:i/>
          <w:iCs/>
          <w:lang w:val="fr-FR"/>
        </w:rPr>
        <w:t xml:space="preserve"> (MTNMA).</w:t>
      </w:r>
    </w:p>
    <w:p w14:paraId="0A594B22" w14:textId="77777777" w:rsidR="002144B5" w:rsidRPr="00B17B5B" w:rsidRDefault="002144B5" w:rsidP="00A32849">
      <w:pPr>
        <w:pStyle w:val="BankNormal"/>
        <w:spacing w:before="80" w:after="80"/>
        <w:rPr>
          <w:i/>
          <w:lang w:val="fr-FR"/>
        </w:rPr>
      </w:pPr>
      <w:r w:rsidRPr="00B17B5B">
        <w:rPr>
          <w:b/>
          <w:szCs w:val="24"/>
          <w:lang w:val="fr-FR"/>
        </w:rPr>
        <w:t xml:space="preserve">Projet : </w:t>
      </w:r>
      <w:r w:rsidRPr="00B17B5B">
        <w:rPr>
          <w:i/>
          <w:lang w:val="fr-FR"/>
        </w:rPr>
        <w:t>Projet Régional d’Intégration Numérique en Afrique de l’Ouest WARDIP – Composante Mauritanie</w:t>
      </w:r>
    </w:p>
    <w:p w14:paraId="1EA40B94" w14:textId="77777777" w:rsidR="002144B5" w:rsidRPr="00B17B5B" w:rsidRDefault="002144B5" w:rsidP="00A32849">
      <w:pPr>
        <w:pStyle w:val="BankNormal"/>
        <w:spacing w:before="80" w:after="80"/>
        <w:rPr>
          <w:sz w:val="16"/>
          <w:szCs w:val="16"/>
          <w:lang w:val="fr-FR"/>
        </w:rPr>
      </w:pPr>
      <w:r w:rsidRPr="00B17B5B">
        <w:rPr>
          <w:b/>
          <w:iCs/>
          <w:szCs w:val="24"/>
          <w:lang w:val="fr-FR"/>
        </w:rPr>
        <w:t>Intitulé du Marché :</w:t>
      </w:r>
      <w:r w:rsidRPr="00B17B5B">
        <w:rPr>
          <w:i/>
          <w:iCs/>
          <w:szCs w:val="24"/>
          <w:lang w:val="fr-FR"/>
        </w:rPr>
        <w:t xml:space="preserve"> </w:t>
      </w:r>
      <w:r>
        <w:rPr>
          <w:i/>
          <w:iCs/>
          <w:szCs w:val="24"/>
          <w:lang w:val="fr-FR"/>
        </w:rPr>
        <w:t>Mise en place d’un système de paiement instantané en Mauritanie permettant l’interopérabilité des services financiers</w:t>
      </w:r>
    </w:p>
    <w:p w14:paraId="165CF766" w14:textId="77777777" w:rsidR="002144B5" w:rsidRPr="00B17B5B" w:rsidRDefault="002144B5" w:rsidP="00A32849">
      <w:pPr>
        <w:pStyle w:val="BankNormal"/>
        <w:spacing w:before="80" w:after="80"/>
        <w:rPr>
          <w:i/>
          <w:iCs/>
          <w:szCs w:val="24"/>
          <w:lang w:val="fr-FR"/>
        </w:rPr>
      </w:pPr>
      <w:r w:rsidRPr="00B17B5B">
        <w:rPr>
          <w:b/>
          <w:szCs w:val="24"/>
          <w:lang w:val="fr-FR"/>
        </w:rPr>
        <w:t xml:space="preserve">Pays : </w:t>
      </w:r>
      <w:r w:rsidRPr="00B17B5B">
        <w:rPr>
          <w:i/>
          <w:iCs/>
          <w:szCs w:val="24"/>
          <w:lang w:val="fr-FR"/>
        </w:rPr>
        <w:t>République Islamique de Mauritanie</w:t>
      </w:r>
    </w:p>
    <w:p w14:paraId="70A2DF1B" w14:textId="77777777" w:rsidR="00877097" w:rsidRPr="00977AAB" w:rsidRDefault="00877097" w:rsidP="00A32849">
      <w:pPr>
        <w:spacing w:before="80" w:after="80"/>
        <w:rPr>
          <w:i/>
          <w:iCs/>
          <w:lang w:val="fr-FR"/>
        </w:rPr>
      </w:pPr>
      <w:r w:rsidRPr="00977AAB">
        <w:rPr>
          <w:b/>
          <w:lang w:val="fr-FR"/>
        </w:rPr>
        <w:t>Crédit No. :</w:t>
      </w:r>
      <w:r w:rsidRPr="00977AAB">
        <w:rPr>
          <w:b/>
          <w:lang w:val="fr-FR"/>
        </w:rPr>
        <w:tab/>
        <w:t xml:space="preserve"> </w:t>
      </w:r>
      <w:r w:rsidRPr="00977AAB">
        <w:rPr>
          <w:i/>
          <w:iCs/>
          <w:lang w:val="fr-FR"/>
        </w:rPr>
        <w:t>IDA- 74450</w:t>
      </w:r>
    </w:p>
    <w:p w14:paraId="4B76DDF8" w14:textId="77777777" w:rsidR="00294DF6" w:rsidRPr="006A38DD" w:rsidRDefault="00294DF6" w:rsidP="00A32849">
      <w:pPr>
        <w:widowControl/>
        <w:autoSpaceDE/>
        <w:autoSpaceDN/>
        <w:spacing w:before="80" w:after="80"/>
        <w:rPr>
          <w:b/>
          <w:i/>
          <w:color w:val="000000" w:themeColor="text1"/>
          <w:lang w:val="it-IT"/>
        </w:rPr>
      </w:pPr>
      <w:r w:rsidRPr="006A38DD">
        <w:rPr>
          <w:b/>
          <w:color w:val="000000" w:themeColor="text1"/>
          <w:lang w:val="it-IT"/>
        </w:rPr>
        <w:t xml:space="preserve">Numéro </w:t>
      </w:r>
      <w:r w:rsidRPr="006A38DD">
        <w:rPr>
          <w:b/>
          <w:lang w:val="it-IT"/>
        </w:rPr>
        <w:t>de DSI</w:t>
      </w:r>
      <w:r w:rsidRPr="006A38DD">
        <w:rPr>
          <w:lang w:val="it-IT"/>
        </w:rPr>
        <w:t xml:space="preserve"> : </w:t>
      </w:r>
      <w:r w:rsidRPr="006A38DD">
        <w:rPr>
          <w:i/>
          <w:iCs/>
          <w:lang w:val="it-IT"/>
        </w:rPr>
        <w:t>AMI-26_WARDIP-2025</w:t>
      </w:r>
    </w:p>
    <w:p w14:paraId="2A2E607E" w14:textId="77777777" w:rsidR="00294DF6" w:rsidRPr="00B17B5B" w:rsidRDefault="00294DF6" w:rsidP="00A32849">
      <w:pPr>
        <w:tabs>
          <w:tab w:val="left" w:pos="6000"/>
        </w:tabs>
        <w:spacing w:before="80" w:after="80"/>
        <w:ind w:right="-720"/>
        <w:rPr>
          <w:i/>
          <w:color w:val="000000" w:themeColor="text1"/>
          <w:lang w:val="fr-FR"/>
        </w:rPr>
      </w:pPr>
      <w:r w:rsidRPr="00B17B5B">
        <w:rPr>
          <w:b/>
          <w:color w:val="000000" w:themeColor="text1"/>
          <w:lang w:val="fr-FR"/>
        </w:rPr>
        <w:t xml:space="preserve">Émis le </w:t>
      </w:r>
      <w:r w:rsidRPr="00100A7A">
        <w:rPr>
          <w:b/>
          <w:i/>
          <w:iCs/>
          <w:color w:val="000000" w:themeColor="text1"/>
          <w:lang w:val="fr-FR"/>
        </w:rPr>
        <w:t xml:space="preserve">: </w:t>
      </w:r>
      <w:r w:rsidRPr="00100A7A">
        <w:rPr>
          <w:b/>
          <w:i/>
          <w:iCs/>
          <w:lang w:val="fr-FR"/>
        </w:rPr>
        <w:t>14 avril 2025</w:t>
      </w:r>
      <w:r w:rsidRPr="00B17B5B">
        <w:rPr>
          <w:i/>
          <w:color w:val="000000" w:themeColor="text1"/>
          <w:lang w:val="fr-FR"/>
        </w:rPr>
        <w:tab/>
      </w:r>
    </w:p>
    <w:p w14:paraId="23D6FB6A" w14:textId="77777777" w:rsidR="002144B5" w:rsidRPr="00B17B5B" w:rsidRDefault="002144B5" w:rsidP="00A32849">
      <w:pPr>
        <w:pStyle w:val="Paragraphedeliste"/>
        <w:widowControl/>
        <w:numPr>
          <w:ilvl w:val="0"/>
          <w:numId w:val="1"/>
        </w:numPr>
        <w:suppressAutoHyphens/>
        <w:autoSpaceDE/>
        <w:autoSpaceDN/>
        <w:spacing w:before="80" w:after="80"/>
        <w:ind w:left="634" w:hanging="634"/>
        <w:contextualSpacing w:val="0"/>
        <w:jc w:val="both"/>
        <w:rPr>
          <w:color w:val="000000" w:themeColor="text1"/>
          <w:spacing w:val="-2"/>
          <w:lang w:val="fr-FR"/>
        </w:rPr>
      </w:pPr>
      <w:r w:rsidRPr="00B17B5B">
        <w:rPr>
          <w:color w:val="000000" w:themeColor="text1"/>
          <w:spacing w:val="-2"/>
          <w:lang w:val="fr-FR"/>
        </w:rPr>
        <w:t xml:space="preserve">Le </w:t>
      </w:r>
      <w:r w:rsidRPr="00F752A3">
        <w:rPr>
          <w:color w:val="000000" w:themeColor="text1"/>
          <w:spacing w:val="-2"/>
          <w:lang w:val="fr-FR"/>
        </w:rPr>
        <w:t xml:space="preserve">Gouvernement de la République Islamique de Mauritanie a reçu </w:t>
      </w:r>
      <w:r w:rsidRPr="00B17B5B">
        <w:rPr>
          <w:color w:val="000000" w:themeColor="text1"/>
          <w:spacing w:val="-2"/>
          <w:lang w:val="fr-FR"/>
        </w:rPr>
        <w:t>un financement de la Banque mondiale</w:t>
      </w:r>
      <w:r>
        <w:rPr>
          <w:color w:val="000000" w:themeColor="text1"/>
          <w:spacing w:val="-2"/>
          <w:lang w:val="fr-FR"/>
        </w:rPr>
        <w:t xml:space="preserve"> dans le cadre du</w:t>
      </w:r>
      <w:r w:rsidRPr="00B17B5B">
        <w:rPr>
          <w:i/>
          <w:iCs/>
          <w:lang w:val="fr-FR"/>
        </w:rPr>
        <w:t xml:space="preserve"> </w:t>
      </w:r>
      <w:r w:rsidRPr="00B17B5B">
        <w:rPr>
          <w:b/>
          <w:lang w:val="fr-FR"/>
        </w:rPr>
        <w:t>Projet Régional d’Intégration Numérique en Afrique de l’Ouest WARDIP – Mauritanie</w:t>
      </w:r>
      <w:r w:rsidRPr="00B17B5B">
        <w:rPr>
          <w:i/>
          <w:color w:val="000000" w:themeColor="text1"/>
          <w:spacing w:val="-2"/>
          <w:lang w:val="fr-FR"/>
        </w:rPr>
        <w:t xml:space="preserve">, </w:t>
      </w:r>
      <w:r w:rsidRPr="00F752A3">
        <w:rPr>
          <w:iCs/>
          <w:color w:val="000000" w:themeColor="text1"/>
          <w:spacing w:val="-2"/>
          <w:lang w:val="fr-FR"/>
        </w:rPr>
        <w:t xml:space="preserve">et a l’intention </w:t>
      </w:r>
      <w:r>
        <w:rPr>
          <w:iCs/>
          <w:color w:val="000000" w:themeColor="text1"/>
          <w:spacing w:val="-2"/>
          <w:lang w:val="fr-FR"/>
        </w:rPr>
        <w:t>d’utiliser une partie de ce financement pour le</w:t>
      </w:r>
      <w:r w:rsidRPr="00F752A3">
        <w:rPr>
          <w:iCs/>
          <w:color w:val="000000" w:themeColor="text1"/>
          <w:spacing w:val="-2"/>
          <w:lang w:val="fr-FR"/>
        </w:rPr>
        <w:t xml:space="preserve"> paiement</w:t>
      </w:r>
      <w:r>
        <w:rPr>
          <w:iCs/>
          <w:color w:val="000000" w:themeColor="text1"/>
          <w:spacing w:val="-2"/>
          <w:lang w:val="fr-FR"/>
        </w:rPr>
        <w:t xml:space="preserve"> des prestations</w:t>
      </w:r>
      <w:r w:rsidRPr="00F752A3">
        <w:rPr>
          <w:iCs/>
          <w:color w:val="000000" w:themeColor="text1"/>
          <w:spacing w:val="-2"/>
          <w:lang w:val="fr-FR"/>
        </w:rPr>
        <w:t xml:space="preserve"> en vertu du marché</w:t>
      </w:r>
      <w:r>
        <w:rPr>
          <w:iCs/>
          <w:color w:val="000000" w:themeColor="text1"/>
          <w:spacing w:val="-2"/>
          <w:lang w:val="fr-FR"/>
        </w:rPr>
        <w:t xml:space="preserve"> </w:t>
      </w:r>
      <w:r w:rsidRPr="00F752A3">
        <w:rPr>
          <w:iCs/>
          <w:color w:val="000000" w:themeColor="text1"/>
          <w:spacing w:val="-2"/>
          <w:lang w:val="fr-FR"/>
        </w:rPr>
        <w:t xml:space="preserve">pour </w:t>
      </w:r>
      <w:r>
        <w:rPr>
          <w:iCs/>
          <w:color w:val="000000" w:themeColor="text1"/>
          <w:spacing w:val="-2"/>
          <w:lang w:val="fr-FR"/>
        </w:rPr>
        <w:t xml:space="preserve">la </w:t>
      </w:r>
      <w:r w:rsidRPr="002B3F6E">
        <w:rPr>
          <w:b/>
          <w:bCs/>
          <w:i/>
          <w:iCs/>
          <w:lang w:val="fr-FR"/>
        </w:rPr>
        <w:t>Mise en place d’un système de paiement instantané en Mauritanie permettant l’interopérabilité des services financiers</w:t>
      </w:r>
      <w:r w:rsidRPr="00B17B5B">
        <w:rPr>
          <w:i/>
          <w:color w:val="000000" w:themeColor="text1"/>
          <w:spacing w:val="-2"/>
          <w:lang w:val="fr-FR"/>
        </w:rPr>
        <w:t>.</w:t>
      </w:r>
    </w:p>
    <w:p w14:paraId="0977D4CC" w14:textId="421F327C" w:rsidR="002144B5" w:rsidRPr="002539B6" w:rsidRDefault="002144B5" w:rsidP="00A32849">
      <w:pPr>
        <w:pStyle w:val="Paragraphedeliste"/>
        <w:widowControl/>
        <w:numPr>
          <w:ilvl w:val="0"/>
          <w:numId w:val="1"/>
        </w:numPr>
        <w:suppressAutoHyphens/>
        <w:autoSpaceDE/>
        <w:autoSpaceDN/>
        <w:spacing w:before="80" w:after="80"/>
        <w:ind w:left="634" w:hanging="634"/>
        <w:contextualSpacing w:val="0"/>
        <w:jc w:val="both"/>
        <w:rPr>
          <w:color w:val="000000" w:themeColor="text1"/>
          <w:spacing w:val="-2"/>
          <w:lang w:val="fr-FR"/>
        </w:rPr>
      </w:pPr>
      <w:r w:rsidRPr="002539B6">
        <w:rPr>
          <w:b/>
          <w:spacing w:val="-3"/>
          <w:lang w:val="fr-FR"/>
        </w:rPr>
        <w:t>L’Unité de Gestion du Projet (UGP)_WARDIP</w:t>
      </w:r>
      <w:r w:rsidRPr="002539B6">
        <w:rPr>
          <w:spacing w:val="-3"/>
          <w:lang w:val="fr-FR"/>
        </w:rPr>
        <w:t xml:space="preserve"> au </w:t>
      </w:r>
      <w:r w:rsidRPr="002539B6">
        <w:rPr>
          <w:b/>
          <w:lang w:val="fr-FR"/>
        </w:rPr>
        <w:t>Ministère de la Transformation Numérique de l’Innovation et de la Modernisation de l’Administration</w:t>
      </w:r>
      <w:r w:rsidRPr="002539B6">
        <w:rPr>
          <w:color w:val="000000" w:themeColor="text1"/>
          <w:spacing w:val="-2"/>
          <w:lang w:val="fr-FR"/>
        </w:rPr>
        <w:t xml:space="preserve"> a l’intention </w:t>
      </w:r>
      <w:r w:rsidRPr="002539B6">
        <w:rPr>
          <w:lang w:val="fr-FR"/>
        </w:rPr>
        <w:t xml:space="preserve">de sélectionner </w:t>
      </w:r>
      <w:r>
        <w:rPr>
          <w:lang w:val="fr-FR"/>
        </w:rPr>
        <w:t>une liste initiale de</w:t>
      </w:r>
      <w:r w:rsidRPr="002539B6">
        <w:rPr>
          <w:color w:val="000000" w:themeColor="text1"/>
          <w:spacing w:val="-2"/>
          <w:lang w:val="fr-FR"/>
        </w:rPr>
        <w:t xml:space="preserve"> </w:t>
      </w:r>
      <w:r w:rsidR="00FE7E4C" w:rsidRPr="002539B6">
        <w:rPr>
          <w:color w:val="000000" w:themeColor="text1"/>
          <w:spacing w:val="-2"/>
          <w:lang w:val="fr-FR"/>
        </w:rPr>
        <w:t>Candidats</w:t>
      </w:r>
      <w:r w:rsidR="00FE7E4C" w:rsidRPr="002539B6">
        <w:rPr>
          <w:lang w:val="fr-FR"/>
        </w:rPr>
        <w:t xml:space="preserve"> </w:t>
      </w:r>
      <w:r w:rsidR="00FE7E4C" w:rsidRPr="002539B6">
        <w:rPr>
          <w:color w:val="000000" w:themeColor="text1"/>
          <w:spacing w:val="-2"/>
          <w:lang w:val="fr-FR"/>
        </w:rPr>
        <w:t>pour</w:t>
      </w:r>
      <w:r w:rsidRPr="002539B6">
        <w:rPr>
          <w:color w:val="000000" w:themeColor="text1"/>
          <w:spacing w:val="-2"/>
          <w:lang w:val="fr-FR"/>
        </w:rPr>
        <w:t xml:space="preserve"> </w:t>
      </w:r>
      <w:proofErr w:type="gramStart"/>
      <w:r w:rsidRPr="002539B6">
        <w:rPr>
          <w:color w:val="000000" w:themeColor="text1"/>
          <w:spacing w:val="-2"/>
          <w:lang w:val="fr-FR"/>
        </w:rPr>
        <w:t xml:space="preserve">la </w:t>
      </w:r>
      <w:r w:rsidRPr="002539B6">
        <w:rPr>
          <w:i/>
          <w:color w:val="000000" w:themeColor="text1"/>
          <w:spacing w:val="-2"/>
          <w:lang w:val="fr-FR"/>
        </w:rPr>
        <w:t xml:space="preserve"> </w:t>
      </w:r>
      <w:r>
        <w:rPr>
          <w:i/>
          <w:color w:val="000000" w:themeColor="text1"/>
          <w:spacing w:val="-2"/>
          <w:lang w:val="fr-FR"/>
        </w:rPr>
        <w:t>«</w:t>
      </w:r>
      <w:proofErr w:type="gramEnd"/>
      <w:r>
        <w:rPr>
          <w:i/>
          <w:color w:val="000000" w:themeColor="text1"/>
          <w:spacing w:val="-2"/>
          <w:lang w:val="fr-FR"/>
        </w:rPr>
        <w:t> </w:t>
      </w:r>
      <w:r w:rsidRPr="002B3F6E">
        <w:rPr>
          <w:b/>
          <w:bCs/>
          <w:i/>
          <w:iCs/>
          <w:lang w:val="fr-FR"/>
        </w:rPr>
        <w:t xml:space="preserve">Mise en place d’un système de paiement instantané en Mauritanie permettant l’interopérabilité des services </w:t>
      </w:r>
      <w:proofErr w:type="gramStart"/>
      <w:r w:rsidRPr="002B3F6E">
        <w:rPr>
          <w:b/>
          <w:bCs/>
          <w:i/>
          <w:iCs/>
          <w:lang w:val="fr-FR"/>
        </w:rPr>
        <w:t>financiers</w:t>
      </w:r>
      <w:r>
        <w:rPr>
          <w:i/>
          <w:color w:val="000000" w:themeColor="text1"/>
          <w:spacing w:val="-2"/>
          <w:lang w:val="fr-FR"/>
        </w:rPr>
        <w:t>»</w:t>
      </w:r>
      <w:proofErr w:type="gramEnd"/>
      <w:r>
        <w:rPr>
          <w:i/>
          <w:color w:val="000000" w:themeColor="text1"/>
          <w:spacing w:val="-2"/>
          <w:lang w:val="fr-FR"/>
        </w:rPr>
        <w:t>.</w:t>
      </w:r>
    </w:p>
    <w:p w14:paraId="552B4DEE" w14:textId="36A5C429" w:rsidR="002144B5" w:rsidRPr="00B17B5B" w:rsidRDefault="002144B5" w:rsidP="00A32849">
      <w:pPr>
        <w:pStyle w:val="Paragraphedeliste"/>
        <w:widowControl/>
        <w:numPr>
          <w:ilvl w:val="0"/>
          <w:numId w:val="1"/>
        </w:numPr>
        <w:suppressAutoHyphens/>
        <w:autoSpaceDE/>
        <w:autoSpaceDN/>
        <w:spacing w:before="80" w:after="80"/>
        <w:ind w:left="634" w:hanging="634"/>
        <w:contextualSpacing w:val="0"/>
        <w:jc w:val="both"/>
        <w:rPr>
          <w:b/>
          <w:bCs/>
          <w:spacing w:val="-2"/>
          <w:lang w:val="fr-FR"/>
        </w:rPr>
      </w:pPr>
      <w:r w:rsidRPr="00B17B5B">
        <w:rPr>
          <w:b/>
          <w:bCs/>
          <w:color w:val="000000" w:themeColor="text1"/>
          <w:spacing w:val="-2"/>
          <w:lang w:val="fr-FR"/>
        </w:rPr>
        <w:t xml:space="preserve">La Sélection Initiale sera effectuée selon les procédures spécifiées dans le Règlement de Passation des </w:t>
      </w:r>
      <w:hyperlink r:id="rId8" w:history="1">
        <w:r w:rsidRPr="00B17B5B">
          <w:rPr>
            <w:b/>
            <w:bCs/>
            <w:color w:val="000000" w:themeColor="text1"/>
            <w:spacing w:val="-2"/>
            <w:lang w:val="fr-FR"/>
          </w:rPr>
          <w:t xml:space="preserve">Marchés </w:t>
        </w:r>
      </w:hyperlink>
      <w:r w:rsidRPr="00B17B5B">
        <w:rPr>
          <w:b/>
          <w:bCs/>
          <w:lang w:val="fr-FR"/>
        </w:rPr>
        <w:t xml:space="preserve"> de la Banque mondiale pour</w:t>
      </w:r>
      <w:r w:rsidRPr="00B17B5B">
        <w:rPr>
          <w:b/>
          <w:bCs/>
          <w:color w:val="000000" w:themeColor="text1"/>
          <w:lang w:val="fr-FR"/>
        </w:rPr>
        <w:t xml:space="preserve"> les Emprunteurs de </w:t>
      </w:r>
      <w:r w:rsidR="00FE7E4C" w:rsidRPr="00B17B5B">
        <w:rPr>
          <w:b/>
          <w:bCs/>
          <w:color w:val="000000" w:themeColor="text1"/>
          <w:lang w:val="fr-FR"/>
        </w:rPr>
        <w:t>FPI</w:t>
      </w:r>
      <w:r w:rsidR="00FE7E4C" w:rsidRPr="00B17B5B">
        <w:rPr>
          <w:b/>
          <w:bCs/>
          <w:lang w:val="fr-FR"/>
        </w:rPr>
        <w:t xml:space="preserve"> (</w:t>
      </w:r>
      <w:r w:rsidRPr="00314F71">
        <w:rPr>
          <w:b/>
          <w:bCs/>
          <w:color w:val="000000" w:themeColor="text1"/>
          <w:lang w:val="fr-FR"/>
        </w:rPr>
        <w:t>Septembre</w:t>
      </w:r>
      <w:r w:rsidRPr="00B17B5B">
        <w:rPr>
          <w:b/>
          <w:bCs/>
          <w:color w:val="000000" w:themeColor="text1"/>
          <w:lang w:val="fr-FR"/>
        </w:rPr>
        <w:t xml:space="preserve"> 2023),</w:t>
      </w:r>
      <w:r w:rsidRPr="00B17B5B">
        <w:rPr>
          <w:b/>
          <w:bCs/>
          <w:color w:val="000000" w:themeColor="text1"/>
          <w:spacing w:val="-2"/>
          <w:lang w:val="fr-FR"/>
        </w:rPr>
        <w:t xml:space="preserve"> </w:t>
      </w:r>
      <w:r w:rsidRPr="00B17B5B">
        <w:rPr>
          <w:b/>
          <w:bCs/>
          <w:spacing w:val="-2"/>
          <w:lang w:val="fr-FR"/>
        </w:rPr>
        <w:t>et est ouverte à tous les Candidats éligibles tels que définis dans le Règlement de Passation des marchés.</w:t>
      </w:r>
    </w:p>
    <w:p w14:paraId="795989A9" w14:textId="33B426D8" w:rsidR="002144B5" w:rsidRPr="00B17B5B" w:rsidRDefault="002144B5" w:rsidP="00A32849">
      <w:pPr>
        <w:pStyle w:val="Paragraphedeliste"/>
        <w:numPr>
          <w:ilvl w:val="0"/>
          <w:numId w:val="1"/>
        </w:numPr>
        <w:suppressAutoHyphens/>
        <w:spacing w:before="80" w:after="80"/>
        <w:jc w:val="both"/>
        <w:rPr>
          <w:spacing w:val="-2"/>
          <w:lang w:val="fr-FR"/>
        </w:rPr>
      </w:pPr>
      <w:r w:rsidRPr="00B17B5B">
        <w:rPr>
          <w:spacing w:val="-2"/>
          <w:lang w:val="fr-FR"/>
        </w:rPr>
        <w:t xml:space="preserve">Les Candidats éligibles intéressés peuvent obtenir de plus amples informations auprès </w:t>
      </w:r>
      <w:r w:rsidRPr="00B17B5B">
        <w:rPr>
          <w:i/>
          <w:iCs/>
          <w:spacing w:val="-2"/>
          <w:lang w:val="fr-FR"/>
        </w:rPr>
        <w:t xml:space="preserve">de </w:t>
      </w:r>
      <w:r w:rsidR="00A16541">
        <w:rPr>
          <w:b/>
          <w:spacing w:val="-3"/>
          <w:lang w:val="fr-FR"/>
        </w:rPr>
        <w:t>l</w:t>
      </w:r>
      <w:r w:rsidRPr="00B17B5B">
        <w:rPr>
          <w:b/>
          <w:spacing w:val="-3"/>
          <w:lang w:val="fr-FR"/>
        </w:rPr>
        <w:t>’Unité de Gestion du Projet (UGP)_WARDIP</w:t>
      </w:r>
      <w:r w:rsidRPr="00B17B5B">
        <w:rPr>
          <w:i/>
          <w:iCs/>
          <w:spacing w:val="-2"/>
          <w:lang w:val="fr-FR"/>
        </w:rPr>
        <w:t xml:space="preserve"> </w:t>
      </w:r>
      <w:r w:rsidRPr="00B17B5B">
        <w:rPr>
          <w:spacing w:val="-2"/>
          <w:lang w:val="fr-FR"/>
        </w:rPr>
        <w:t xml:space="preserve">à l’adresse ci-dessous </w:t>
      </w:r>
      <w:r w:rsidRPr="00B17B5B">
        <w:rPr>
          <w:lang w:val="fr-FR"/>
        </w:rPr>
        <w:t>pendant les</w:t>
      </w:r>
      <w:r w:rsidRPr="00B17B5B">
        <w:rPr>
          <w:spacing w:val="-2"/>
          <w:lang w:val="fr-FR"/>
        </w:rPr>
        <w:t xml:space="preserve"> heures </w:t>
      </w:r>
      <w:r w:rsidRPr="00B17B5B">
        <w:rPr>
          <w:lang w:val="fr-FR"/>
        </w:rPr>
        <w:t xml:space="preserve">de bureau </w:t>
      </w:r>
      <w:r w:rsidRPr="00B17B5B">
        <w:rPr>
          <w:i/>
          <w:iCs/>
          <w:lang w:val="fr-FR"/>
        </w:rPr>
        <w:t>[</w:t>
      </w:r>
      <w:r>
        <w:rPr>
          <w:i/>
          <w:iCs/>
          <w:lang w:val="fr-FR"/>
        </w:rPr>
        <w:t xml:space="preserve">de </w:t>
      </w:r>
      <w:r w:rsidRPr="00B17B5B">
        <w:rPr>
          <w:i/>
          <w:iCs/>
          <w:spacing w:val="-2"/>
          <w:lang w:val="fr-FR"/>
        </w:rPr>
        <w:t>09 à 1700 heures].</w:t>
      </w:r>
    </w:p>
    <w:tbl>
      <w:tblPr>
        <w:tblW w:w="6942" w:type="dxa"/>
        <w:tblInd w:w="11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3621"/>
      </w:tblGrid>
      <w:tr w:rsidR="002144B5" w:rsidRPr="00B17B5B" w14:paraId="217A6782" w14:textId="77777777" w:rsidTr="00816A4A">
        <w:trPr>
          <w:trHeight w:val="315"/>
        </w:trPr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B030F4D" w14:textId="77777777" w:rsidR="002144B5" w:rsidRPr="00B17B5B" w:rsidRDefault="002144B5" w:rsidP="00816A4A">
            <w:pPr>
              <w:textAlignment w:val="baseline"/>
              <w:rPr>
                <w:rFonts w:ascii="Calibri" w:hAnsi="Calibri" w:cs="Calibri"/>
                <w:lang w:val="fr-FR"/>
              </w:rPr>
            </w:pPr>
            <w:r w:rsidRPr="00B17B5B">
              <w:rPr>
                <w:b/>
                <w:bCs/>
                <w:lang w:val="fr-FR"/>
              </w:rPr>
              <w:t>ADRESSE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F6F075E" w14:textId="77777777" w:rsidR="002144B5" w:rsidRPr="00B17B5B" w:rsidRDefault="002144B5" w:rsidP="00816A4A">
            <w:pPr>
              <w:textAlignment w:val="baseline"/>
              <w:rPr>
                <w:rFonts w:ascii="Calibri" w:hAnsi="Calibri" w:cs="Calibri"/>
                <w:lang w:val="fr-FR"/>
              </w:rPr>
            </w:pPr>
            <w:r w:rsidRPr="00B17B5B">
              <w:rPr>
                <w:b/>
                <w:bCs/>
                <w:lang w:val="fr-FR"/>
              </w:rPr>
              <w:t>CONTACT</w:t>
            </w:r>
          </w:p>
        </w:tc>
      </w:tr>
      <w:tr w:rsidR="002144B5" w:rsidRPr="007E5987" w14:paraId="33258E86" w14:textId="77777777" w:rsidTr="00816A4A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E1AF34" w14:textId="77777777" w:rsidR="002144B5" w:rsidRPr="00B17B5B" w:rsidRDefault="002144B5" w:rsidP="00816A4A">
            <w:pPr>
              <w:textAlignment w:val="baseline"/>
              <w:rPr>
                <w:lang w:val="fr-FR"/>
              </w:rPr>
            </w:pPr>
          </w:p>
          <w:p w14:paraId="400B5AF2" w14:textId="77777777" w:rsidR="002144B5" w:rsidRPr="00B17B5B" w:rsidRDefault="002144B5" w:rsidP="00816A4A">
            <w:pPr>
              <w:textAlignment w:val="baseline"/>
              <w:rPr>
                <w:lang w:val="fr-FR"/>
              </w:rPr>
            </w:pPr>
            <w:r w:rsidRPr="00B17B5B">
              <w:rPr>
                <w:lang w:val="fr-FR"/>
              </w:rPr>
              <w:t>Adresse : TVZ, N° 099 – Nouakchott</w:t>
            </w:r>
          </w:p>
          <w:p w14:paraId="0EACD5E7" w14:textId="77777777" w:rsidR="002144B5" w:rsidRPr="00B17B5B" w:rsidRDefault="002144B5" w:rsidP="00816A4A">
            <w:pPr>
              <w:textAlignment w:val="baseline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96A62F" w14:textId="77777777" w:rsidR="002144B5" w:rsidRPr="00B17B5B" w:rsidRDefault="002144B5" w:rsidP="00816A4A">
            <w:pPr>
              <w:textAlignment w:val="baseline"/>
              <w:rPr>
                <w:lang w:val="fr-FR"/>
              </w:rPr>
            </w:pPr>
            <w:r w:rsidRPr="00B17B5B">
              <w:rPr>
                <w:lang w:val="fr-FR"/>
              </w:rPr>
              <w:t xml:space="preserve">Téléphone : </w:t>
            </w:r>
          </w:p>
          <w:p w14:paraId="09721372" w14:textId="2142F65A" w:rsidR="002144B5" w:rsidRPr="00B17B5B" w:rsidRDefault="002144B5" w:rsidP="00816A4A">
            <w:pPr>
              <w:textAlignment w:val="baseline"/>
              <w:rPr>
                <w:lang w:val="fr-FR"/>
              </w:rPr>
            </w:pPr>
            <w:r w:rsidRPr="00B17B5B">
              <w:rPr>
                <w:lang w:val="fr-FR"/>
              </w:rPr>
              <w:t>+222 45</w:t>
            </w:r>
            <w:r w:rsidR="00A16541">
              <w:rPr>
                <w:lang w:val="fr-FR"/>
              </w:rPr>
              <w:t xml:space="preserve"> </w:t>
            </w:r>
            <w:r w:rsidRPr="00B17B5B">
              <w:rPr>
                <w:lang w:val="fr-FR"/>
              </w:rPr>
              <w:t>24 11 02</w:t>
            </w:r>
          </w:p>
          <w:p w14:paraId="7860C2FE" w14:textId="77777777" w:rsidR="002144B5" w:rsidRPr="00B17B5B" w:rsidRDefault="002144B5" w:rsidP="00816A4A">
            <w:pPr>
              <w:textAlignment w:val="baseline"/>
              <w:rPr>
                <w:lang w:val="fr-FR"/>
              </w:rPr>
            </w:pPr>
            <w:r w:rsidRPr="00B17B5B">
              <w:rPr>
                <w:lang w:val="fr-FR"/>
              </w:rPr>
              <w:t>Courriel : wardip@mtnima.gov.mr</w:t>
            </w:r>
          </w:p>
        </w:tc>
      </w:tr>
    </w:tbl>
    <w:p w14:paraId="42D97515" w14:textId="77777777" w:rsidR="002144B5" w:rsidRPr="00B17B5B" w:rsidRDefault="002144B5" w:rsidP="002144B5">
      <w:pPr>
        <w:pStyle w:val="Paragraphedeliste"/>
        <w:suppressAutoHyphens/>
        <w:spacing w:before="240" w:after="240"/>
        <w:jc w:val="both"/>
        <w:rPr>
          <w:spacing w:val="-2"/>
          <w:lang w:val="fr-FR"/>
        </w:rPr>
      </w:pPr>
      <w:r w:rsidRPr="00B17B5B">
        <w:rPr>
          <w:spacing w:val="-2"/>
          <w:lang w:val="fr-FR"/>
        </w:rPr>
        <w:lastRenderedPageBreak/>
        <w:t>Un dossier</w:t>
      </w:r>
      <w:r w:rsidRPr="00B17B5B">
        <w:rPr>
          <w:lang w:val="fr-FR"/>
        </w:rPr>
        <w:t xml:space="preserve"> </w:t>
      </w:r>
      <w:r w:rsidRPr="00B17B5B">
        <w:rPr>
          <w:spacing w:val="-2"/>
          <w:lang w:val="fr-FR"/>
        </w:rPr>
        <w:t xml:space="preserve">complet </w:t>
      </w:r>
      <w:r w:rsidRPr="00B17B5B">
        <w:rPr>
          <w:lang w:val="fr-FR"/>
        </w:rPr>
        <w:t xml:space="preserve">de </w:t>
      </w:r>
      <w:r w:rsidRPr="00B17B5B">
        <w:rPr>
          <w:b/>
          <w:bCs/>
          <w:lang w:val="fr-FR"/>
        </w:rPr>
        <w:t xml:space="preserve">Sélection </w:t>
      </w:r>
      <w:r w:rsidRPr="00B17B5B">
        <w:rPr>
          <w:b/>
          <w:bCs/>
          <w:color w:val="000000" w:themeColor="text1"/>
          <w:kern w:val="28"/>
          <w:lang w:val="fr-FR"/>
        </w:rPr>
        <w:t>Initiale</w:t>
      </w:r>
      <w:r w:rsidRPr="00B17B5B">
        <w:rPr>
          <w:lang w:val="fr-FR"/>
        </w:rPr>
        <w:t xml:space="preserve"> en </w:t>
      </w:r>
      <w:r w:rsidRPr="00314F71">
        <w:rPr>
          <w:spacing w:val="-2"/>
          <w:lang w:val="fr-FR"/>
        </w:rPr>
        <w:t>français</w:t>
      </w:r>
      <w:r w:rsidRPr="00B17B5B">
        <w:rPr>
          <w:lang w:val="fr-FR"/>
        </w:rPr>
        <w:t xml:space="preserve"> </w:t>
      </w:r>
      <w:r w:rsidRPr="00B17B5B">
        <w:rPr>
          <w:spacing w:val="-2"/>
          <w:lang w:val="fr-FR"/>
        </w:rPr>
        <w:t xml:space="preserve">peut être acheté par les Candidats intéressés sur présentation d’une demande écrite à l’adresse ci-dessous et moyennant le paiement de frais non remboursables de </w:t>
      </w:r>
      <w:r>
        <w:rPr>
          <w:b/>
          <w:bCs/>
          <w:i/>
          <w:iCs/>
          <w:lang w:val="fr-FR"/>
        </w:rPr>
        <w:t>5</w:t>
      </w:r>
      <w:r w:rsidRPr="00137FC8">
        <w:rPr>
          <w:b/>
          <w:bCs/>
          <w:i/>
          <w:iCs/>
          <w:lang w:val="fr-FR"/>
        </w:rPr>
        <w:t xml:space="preserve"> 000MRU</w:t>
      </w:r>
      <w:r>
        <w:rPr>
          <w:i/>
          <w:iCs/>
          <w:spacing w:val="-2"/>
          <w:lang w:val="fr-FR"/>
        </w:rPr>
        <w:t xml:space="preserve"> </w:t>
      </w:r>
      <w:r>
        <w:rPr>
          <w:lang w:val="fr-FR"/>
        </w:rPr>
        <w:t>auprès du Trésor Public</w:t>
      </w:r>
      <w:r w:rsidRPr="00B17B5B">
        <w:rPr>
          <w:i/>
          <w:iCs/>
          <w:spacing w:val="-2"/>
          <w:lang w:val="fr-FR"/>
        </w:rPr>
        <w:t>.</w:t>
      </w:r>
    </w:p>
    <w:p w14:paraId="2B6D8EA2" w14:textId="77777777" w:rsidR="002144B5" w:rsidRPr="00B17B5B" w:rsidRDefault="002144B5" w:rsidP="002144B5">
      <w:pPr>
        <w:suppressAutoHyphens/>
        <w:spacing w:before="240" w:after="240"/>
        <w:ind w:left="634" w:hanging="634"/>
        <w:jc w:val="both"/>
        <w:rPr>
          <w:spacing w:val="-2"/>
          <w:lang w:val="fr-FR"/>
        </w:rPr>
      </w:pPr>
      <w:r w:rsidRPr="00B17B5B">
        <w:rPr>
          <w:spacing w:val="-2"/>
          <w:lang w:val="fr-FR"/>
        </w:rPr>
        <w:t>5.</w:t>
      </w:r>
      <w:r w:rsidRPr="00B17B5B">
        <w:rPr>
          <w:spacing w:val="-2"/>
          <w:lang w:val="fr-FR"/>
        </w:rPr>
        <w:tab/>
        <w:t xml:space="preserve">Les candidatures </w:t>
      </w:r>
      <w:r>
        <w:rPr>
          <w:spacing w:val="-2"/>
          <w:lang w:val="fr-FR"/>
        </w:rPr>
        <w:t>à cette</w:t>
      </w:r>
      <w:r w:rsidRPr="00B17B5B">
        <w:rPr>
          <w:spacing w:val="-2"/>
          <w:lang w:val="fr-FR"/>
        </w:rPr>
        <w:t xml:space="preserve"> Sélection Initiale doivent être soumises dans des enveloppes clairement marquées et livrées à l’adresse ci-dessous </w:t>
      </w:r>
      <w:r>
        <w:rPr>
          <w:spacing w:val="-2"/>
          <w:lang w:val="fr-FR"/>
        </w:rPr>
        <w:t xml:space="preserve">le </w:t>
      </w:r>
      <w:r w:rsidRPr="00100A7A">
        <w:rPr>
          <w:b/>
          <w:bCs/>
          <w:i/>
          <w:iCs/>
          <w:spacing w:val="-2"/>
          <w:lang w:val="fr-FR"/>
        </w:rPr>
        <w:t>mardi</w:t>
      </w:r>
      <w:r w:rsidRPr="00100A7A">
        <w:rPr>
          <w:spacing w:val="-2"/>
          <w:lang w:val="fr-FR"/>
        </w:rPr>
        <w:t xml:space="preserve"> </w:t>
      </w:r>
      <w:r w:rsidRPr="00100A7A">
        <w:rPr>
          <w:b/>
          <w:bCs/>
          <w:i/>
          <w:iCs/>
          <w:spacing w:val="-2"/>
          <w:lang w:val="fr-FR"/>
        </w:rPr>
        <w:t>3 juin 2025</w:t>
      </w:r>
      <w:r w:rsidRPr="00100A7A">
        <w:rPr>
          <w:iCs/>
          <w:spacing w:val="-2"/>
          <w:lang w:val="fr-FR"/>
        </w:rPr>
        <w:t>.</w:t>
      </w:r>
      <w:r w:rsidRPr="00100A7A">
        <w:rPr>
          <w:lang w:val="fr-FR"/>
        </w:rPr>
        <w:t xml:space="preserve"> </w:t>
      </w:r>
      <w:r w:rsidRPr="00100A7A">
        <w:rPr>
          <w:spacing w:val="-2"/>
          <w:lang w:val="fr-FR"/>
        </w:rPr>
        <w:t>Les demandes tardives seront rejetées.</w:t>
      </w:r>
    </w:p>
    <w:p w14:paraId="6E584C0B" w14:textId="10632C71" w:rsidR="00EC7755" w:rsidRDefault="00EC7755" w:rsidP="00A32849">
      <w:pPr>
        <w:pStyle w:val="Style8"/>
        <w:spacing w:after="80" w:line="264" w:lineRule="exact"/>
        <w:ind w:left="1368"/>
        <w:jc w:val="center"/>
        <w:rPr>
          <w:b/>
          <w:color w:val="000000"/>
          <w:spacing w:val="-2"/>
          <w:szCs w:val="20"/>
          <w:lang w:val="fr-FR" w:eastAsia="fr-FR"/>
        </w:rPr>
      </w:pPr>
      <w:r>
        <w:rPr>
          <w:b/>
          <w:color w:val="000000"/>
          <w:spacing w:val="-2"/>
          <w:szCs w:val="20"/>
          <w:lang w:val="fr-FR" w:eastAsia="fr-FR"/>
        </w:rPr>
        <w:t>A l’attention d</w:t>
      </w:r>
      <w:r w:rsidR="001E5B11">
        <w:rPr>
          <w:b/>
          <w:color w:val="000000"/>
          <w:spacing w:val="-2"/>
          <w:szCs w:val="20"/>
          <w:lang w:val="fr-FR" w:eastAsia="fr-FR"/>
        </w:rPr>
        <w:t>u</w:t>
      </w:r>
      <w:r>
        <w:rPr>
          <w:b/>
          <w:color w:val="000000"/>
          <w:spacing w:val="-2"/>
          <w:szCs w:val="20"/>
          <w:lang w:val="fr-FR" w:eastAsia="fr-FR"/>
        </w:rPr>
        <w:t xml:space="preserve"> </w:t>
      </w:r>
    </w:p>
    <w:p w14:paraId="7220BEB0" w14:textId="47ACB2D5" w:rsidR="00755399" w:rsidRPr="00755399" w:rsidRDefault="00EC7755" w:rsidP="00A32849">
      <w:pPr>
        <w:pStyle w:val="Style8"/>
        <w:spacing w:after="80" w:line="264" w:lineRule="exact"/>
        <w:ind w:left="1368"/>
        <w:jc w:val="center"/>
        <w:rPr>
          <w:b/>
          <w:color w:val="000000"/>
          <w:spacing w:val="-2"/>
          <w:szCs w:val="20"/>
          <w:lang w:val="fr-FR" w:eastAsia="fr-FR"/>
        </w:rPr>
      </w:pPr>
      <w:r>
        <w:rPr>
          <w:b/>
          <w:color w:val="000000"/>
          <w:spacing w:val="-2"/>
          <w:szCs w:val="20"/>
          <w:lang w:val="fr-FR" w:eastAsia="fr-FR"/>
        </w:rPr>
        <w:t xml:space="preserve">Président de la </w:t>
      </w:r>
      <w:r w:rsidR="00755399" w:rsidRPr="00755399">
        <w:rPr>
          <w:b/>
          <w:color w:val="000000"/>
          <w:spacing w:val="-2"/>
          <w:szCs w:val="20"/>
          <w:lang w:val="fr-FR" w:eastAsia="fr-FR"/>
        </w:rPr>
        <w:t xml:space="preserve">Commission de Passation des Marchés </w:t>
      </w:r>
      <w:r w:rsidRPr="00755399">
        <w:rPr>
          <w:b/>
          <w:color w:val="000000"/>
          <w:spacing w:val="-2"/>
          <w:szCs w:val="20"/>
          <w:lang w:val="fr-FR" w:eastAsia="fr-FR"/>
        </w:rPr>
        <w:t>Publics (</w:t>
      </w:r>
      <w:r w:rsidR="00755399" w:rsidRPr="00755399">
        <w:rPr>
          <w:b/>
          <w:color w:val="000000"/>
          <w:spacing w:val="-2"/>
          <w:szCs w:val="20"/>
          <w:lang w:val="fr-FR" w:eastAsia="fr-FR"/>
        </w:rPr>
        <w:t>CPMP_MTNMA),</w:t>
      </w:r>
    </w:p>
    <w:p w14:paraId="6D405E1F" w14:textId="77777777" w:rsidR="00755399" w:rsidRPr="00755399" w:rsidRDefault="00755399" w:rsidP="00A32849">
      <w:pPr>
        <w:pStyle w:val="Style8"/>
        <w:spacing w:after="80" w:line="264" w:lineRule="exact"/>
        <w:ind w:left="1368"/>
        <w:jc w:val="center"/>
        <w:rPr>
          <w:b/>
          <w:color w:val="000000"/>
          <w:spacing w:val="-2"/>
          <w:szCs w:val="20"/>
          <w:lang w:eastAsia="fr-FR"/>
        </w:rPr>
      </w:pPr>
      <w:proofErr w:type="spellStart"/>
      <w:r w:rsidRPr="00755399">
        <w:rPr>
          <w:b/>
          <w:color w:val="000000"/>
          <w:spacing w:val="-2"/>
          <w:szCs w:val="20"/>
          <w:lang w:eastAsia="fr-FR"/>
        </w:rPr>
        <w:t>Ilot</w:t>
      </w:r>
      <w:proofErr w:type="spellEnd"/>
      <w:r w:rsidRPr="00755399">
        <w:rPr>
          <w:b/>
          <w:color w:val="000000"/>
          <w:spacing w:val="-2"/>
          <w:szCs w:val="20"/>
          <w:lang w:eastAsia="fr-FR"/>
        </w:rPr>
        <w:t xml:space="preserve"> ZRC, LOT 418, Rue Moulaye El Hacen Ould MOCHTAR EL HACEN,</w:t>
      </w:r>
    </w:p>
    <w:p w14:paraId="5967B296" w14:textId="77777777" w:rsidR="00755399" w:rsidRPr="00755399" w:rsidRDefault="00755399" w:rsidP="00A32849">
      <w:pPr>
        <w:pStyle w:val="Style8"/>
        <w:spacing w:after="80" w:line="264" w:lineRule="exact"/>
        <w:ind w:left="1368"/>
        <w:jc w:val="center"/>
        <w:rPr>
          <w:b/>
          <w:color w:val="000000"/>
          <w:spacing w:val="-2"/>
          <w:szCs w:val="20"/>
          <w:lang w:val="fr-FR" w:eastAsia="fr-FR"/>
        </w:rPr>
      </w:pPr>
      <w:r w:rsidRPr="00755399">
        <w:rPr>
          <w:b/>
          <w:color w:val="000000"/>
          <w:spacing w:val="-2"/>
          <w:szCs w:val="20"/>
          <w:lang w:val="fr-FR" w:eastAsia="fr-FR"/>
        </w:rPr>
        <w:t>Nouakchott Mauritanie</w:t>
      </w:r>
    </w:p>
    <w:p w14:paraId="622B306D" w14:textId="7A3B10E9" w:rsidR="002144B5" w:rsidRPr="00B17B5B" w:rsidRDefault="00755399" w:rsidP="00A32849">
      <w:pPr>
        <w:pStyle w:val="Style8"/>
        <w:spacing w:after="80" w:line="264" w:lineRule="exact"/>
        <w:ind w:left="1368"/>
        <w:jc w:val="center"/>
        <w:rPr>
          <w:lang w:val="fr-FR"/>
        </w:rPr>
      </w:pPr>
      <w:r w:rsidRPr="00755399">
        <w:rPr>
          <w:b/>
          <w:color w:val="000000"/>
          <w:spacing w:val="-2"/>
          <w:szCs w:val="20"/>
          <w:lang w:val="fr-FR" w:eastAsia="fr-FR"/>
        </w:rPr>
        <w:t>Tel : +222 49 72 71 70, Courriel : cpmp-mtnima@mtnima.gov.mr</w:t>
      </w:r>
    </w:p>
    <w:p w14:paraId="04A03190" w14:textId="6E5E6032" w:rsidR="00F3562B" w:rsidRPr="00B17B5B" w:rsidRDefault="00F3562B" w:rsidP="00F3562B">
      <w:pPr>
        <w:suppressAutoHyphens/>
        <w:spacing w:before="240" w:after="240"/>
        <w:ind w:left="634" w:hanging="634"/>
        <w:jc w:val="both"/>
        <w:rPr>
          <w:spacing w:val="-2"/>
          <w:lang w:val="fr-FR"/>
        </w:rPr>
      </w:pPr>
      <w:r w:rsidRPr="00B17B5B">
        <w:rPr>
          <w:spacing w:val="-2"/>
          <w:lang w:val="fr-FR"/>
        </w:rPr>
        <w:t>5.</w:t>
      </w:r>
      <w:r w:rsidRPr="00B17B5B">
        <w:rPr>
          <w:spacing w:val="-2"/>
          <w:lang w:val="fr-FR"/>
        </w:rPr>
        <w:tab/>
      </w:r>
      <w:r w:rsidRPr="00F3562B">
        <w:rPr>
          <w:spacing w:val="-2"/>
          <w:lang w:val="fr-FR"/>
        </w:rPr>
        <w:t xml:space="preserve">Le dossier de candidature doit contenir un support électronique (Flash) contenant une copie électronique complété de la réponse du candidat. De plus, la liste des expériences attestées </w:t>
      </w:r>
      <w:r w:rsidRPr="001E5B11">
        <w:rPr>
          <w:b/>
          <w:bCs/>
          <w:spacing w:val="-2"/>
          <w:lang w:val="fr-FR"/>
        </w:rPr>
        <w:t>doit obligatoirement</w:t>
      </w:r>
      <w:r w:rsidRPr="00F3562B">
        <w:rPr>
          <w:spacing w:val="-2"/>
          <w:lang w:val="fr-FR"/>
        </w:rPr>
        <w:t xml:space="preserve"> être fournie dans un document en format modifiable (WORD ou EXCEL) et présentant les expériences sous le format ci-dessous 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90"/>
        <w:gridCol w:w="1102"/>
        <w:gridCol w:w="3548"/>
        <w:gridCol w:w="1559"/>
        <w:gridCol w:w="2268"/>
      </w:tblGrid>
      <w:tr w:rsidR="00294DF6" w:rsidRPr="00262E9B" w14:paraId="425D4DCC" w14:textId="77777777" w:rsidTr="00816A4A">
        <w:tc>
          <w:tcPr>
            <w:tcW w:w="590" w:type="dxa"/>
          </w:tcPr>
          <w:p w14:paraId="54BFEF13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Ref</w:t>
            </w:r>
          </w:p>
        </w:tc>
        <w:tc>
          <w:tcPr>
            <w:tcW w:w="1102" w:type="dxa"/>
          </w:tcPr>
          <w:p w14:paraId="62437C99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Periode</w:t>
            </w:r>
          </w:p>
        </w:tc>
        <w:tc>
          <w:tcPr>
            <w:tcW w:w="3548" w:type="dxa"/>
          </w:tcPr>
          <w:p w14:paraId="520FEB79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Intitulé de la Mission</w:t>
            </w:r>
          </w:p>
        </w:tc>
        <w:tc>
          <w:tcPr>
            <w:tcW w:w="1559" w:type="dxa"/>
          </w:tcPr>
          <w:p w14:paraId="47C95E64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Clients / Pays</w:t>
            </w:r>
          </w:p>
        </w:tc>
        <w:tc>
          <w:tcPr>
            <w:tcW w:w="2268" w:type="dxa"/>
          </w:tcPr>
          <w:p w14:paraId="13370F94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Type de justificatif</w:t>
            </w:r>
          </w:p>
        </w:tc>
      </w:tr>
      <w:tr w:rsidR="00294DF6" w:rsidRPr="00262E9B" w14:paraId="4EA01504" w14:textId="77777777" w:rsidTr="00816A4A">
        <w:tc>
          <w:tcPr>
            <w:tcW w:w="590" w:type="dxa"/>
          </w:tcPr>
          <w:p w14:paraId="107E6B52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1</w:t>
            </w:r>
          </w:p>
        </w:tc>
        <w:tc>
          <w:tcPr>
            <w:tcW w:w="1102" w:type="dxa"/>
          </w:tcPr>
          <w:p w14:paraId="5CE7E4F4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3548" w:type="dxa"/>
          </w:tcPr>
          <w:p w14:paraId="47475F5F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 w14:paraId="1822AD96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2268" w:type="dxa"/>
          </w:tcPr>
          <w:p w14:paraId="056A0074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</w:tr>
      <w:tr w:rsidR="00294DF6" w:rsidRPr="00262E9B" w14:paraId="38C1D3A5" w14:textId="77777777" w:rsidTr="00816A4A">
        <w:tc>
          <w:tcPr>
            <w:tcW w:w="590" w:type="dxa"/>
          </w:tcPr>
          <w:p w14:paraId="6E53211A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2</w:t>
            </w:r>
          </w:p>
        </w:tc>
        <w:tc>
          <w:tcPr>
            <w:tcW w:w="1102" w:type="dxa"/>
          </w:tcPr>
          <w:p w14:paraId="0629DCCF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3548" w:type="dxa"/>
          </w:tcPr>
          <w:p w14:paraId="0F089624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 w14:paraId="5774AB9C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2268" w:type="dxa"/>
          </w:tcPr>
          <w:p w14:paraId="31E852EB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</w:tr>
      <w:tr w:rsidR="00294DF6" w:rsidRPr="00262E9B" w14:paraId="14BB80EC" w14:textId="77777777" w:rsidTr="00816A4A">
        <w:tc>
          <w:tcPr>
            <w:tcW w:w="590" w:type="dxa"/>
          </w:tcPr>
          <w:p w14:paraId="7EE12559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102" w:type="dxa"/>
          </w:tcPr>
          <w:p w14:paraId="1E62C151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3548" w:type="dxa"/>
          </w:tcPr>
          <w:p w14:paraId="4D9F0F2D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 w14:paraId="6A160783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2268" w:type="dxa"/>
          </w:tcPr>
          <w:p w14:paraId="6A2B2872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</w:tr>
      <w:tr w:rsidR="00294DF6" w:rsidRPr="00262E9B" w14:paraId="4FD8F1FF" w14:textId="77777777" w:rsidTr="00816A4A">
        <w:tc>
          <w:tcPr>
            <w:tcW w:w="590" w:type="dxa"/>
          </w:tcPr>
          <w:p w14:paraId="784D9999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 w:rsidRPr="00262E9B">
              <w:rPr>
                <w:rFonts w:eastAsia="Calibri"/>
                <w:noProof/>
                <w:color w:val="000000" w:themeColor="text1"/>
              </w:rPr>
              <w:t>i</w:t>
            </w:r>
          </w:p>
        </w:tc>
        <w:tc>
          <w:tcPr>
            <w:tcW w:w="1102" w:type="dxa"/>
          </w:tcPr>
          <w:p w14:paraId="540A87CE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3548" w:type="dxa"/>
          </w:tcPr>
          <w:p w14:paraId="3308C22D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 w14:paraId="720E181A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2268" w:type="dxa"/>
          </w:tcPr>
          <w:p w14:paraId="21BFA2E5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</w:tr>
      <w:tr w:rsidR="00294DF6" w:rsidRPr="00262E9B" w14:paraId="2AAC5ECC" w14:textId="77777777" w:rsidTr="00816A4A">
        <w:tc>
          <w:tcPr>
            <w:tcW w:w="590" w:type="dxa"/>
          </w:tcPr>
          <w:p w14:paraId="50C8B66D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i+1</w:t>
            </w:r>
          </w:p>
        </w:tc>
        <w:tc>
          <w:tcPr>
            <w:tcW w:w="1102" w:type="dxa"/>
          </w:tcPr>
          <w:p w14:paraId="3F0B57ED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3548" w:type="dxa"/>
          </w:tcPr>
          <w:p w14:paraId="31390141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 w14:paraId="72F1F280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2268" w:type="dxa"/>
          </w:tcPr>
          <w:p w14:paraId="46F11B2D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</w:tr>
      <w:tr w:rsidR="00294DF6" w:rsidRPr="00262E9B" w14:paraId="6D5C0AC8" w14:textId="77777777" w:rsidTr="00816A4A">
        <w:tc>
          <w:tcPr>
            <w:tcW w:w="590" w:type="dxa"/>
          </w:tcPr>
          <w:p w14:paraId="31BD7C98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102" w:type="dxa"/>
          </w:tcPr>
          <w:p w14:paraId="4D61ADCE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3548" w:type="dxa"/>
          </w:tcPr>
          <w:p w14:paraId="3755A8D4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1559" w:type="dxa"/>
          </w:tcPr>
          <w:p w14:paraId="6C3AA38E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  <w:tc>
          <w:tcPr>
            <w:tcW w:w="2268" w:type="dxa"/>
          </w:tcPr>
          <w:p w14:paraId="20A176EC" w14:textId="77777777" w:rsidR="00294DF6" w:rsidRPr="00262E9B" w:rsidRDefault="00294DF6" w:rsidP="00816A4A">
            <w:pPr>
              <w:spacing w:after="120"/>
              <w:jc w:val="both"/>
              <w:rPr>
                <w:rFonts w:eastAsia="Calibri"/>
                <w:noProof/>
                <w:color w:val="000000" w:themeColor="text1"/>
              </w:rPr>
            </w:pPr>
          </w:p>
        </w:tc>
      </w:tr>
    </w:tbl>
    <w:p w14:paraId="7F168CB2" w14:textId="77777777" w:rsidR="00294DF6" w:rsidRPr="00930C40" w:rsidRDefault="00294DF6" w:rsidP="00294DF6">
      <w:pPr>
        <w:suppressAutoHyphens/>
        <w:spacing w:before="240" w:after="240"/>
        <w:ind w:left="634" w:hanging="634"/>
        <w:jc w:val="both"/>
        <w:rPr>
          <w:spacing w:val="-2"/>
          <w:lang w:val="fr-FR"/>
        </w:rPr>
      </w:pPr>
      <w:r>
        <w:rPr>
          <w:spacing w:val="-2"/>
          <w:lang w:val="fr-FR"/>
        </w:rPr>
        <w:t>7</w:t>
      </w:r>
      <w:r w:rsidRPr="00977AAB">
        <w:rPr>
          <w:spacing w:val="-2"/>
          <w:lang w:val="fr-FR"/>
        </w:rPr>
        <w:t>.</w:t>
      </w:r>
      <w:r w:rsidRPr="00977AAB">
        <w:rPr>
          <w:spacing w:val="-2"/>
          <w:lang w:val="fr-FR"/>
        </w:rPr>
        <w:tab/>
      </w:r>
      <w:r>
        <w:rPr>
          <w:spacing w:val="-2"/>
          <w:lang w:val="fr-FR"/>
        </w:rPr>
        <w:t xml:space="preserve">Toutes les expériences doivent être attestées et une copie de l’attestation </w:t>
      </w:r>
      <w:r w:rsidRPr="001E5B11">
        <w:rPr>
          <w:b/>
          <w:bCs/>
          <w:spacing w:val="-2"/>
          <w:lang w:val="fr-FR"/>
        </w:rPr>
        <w:t>doit figurer dans le dossier.</w:t>
      </w:r>
    </w:p>
    <w:p w14:paraId="7529A7FB" w14:textId="23ED3521" w:rsidR="00FE7E4C" w:rsidRPr="00A32849" w:rsidRDefault="00FE7E4C" w:rsidP="00A32849">
      <w:pPr>
        <w:pStyle w:val="Sansinterligne"/>
        <w:jc w:val="center"/>
        <w:rPr>
          <w:b/>
          <w:bCs/>
          <w:lang w:val="fr-FR"/>
        </w:rPr>
      </w:pPr>
      <w:r w:rsidRPr="00A32849">
        <w:rPr>
          <w:b/>
          <w:bCs/>
          <w:lang w:val="fr-FR"/>
        </w:rPr>
        <w:t>Mohamed Lemine SALIHI,</w:t>
      </w:r>
    </w:p>
    <w:p w14:paraId="40443FCC" w14:textId="33A9C83E" w:rsidR="00FE7E4C" w:rsidRDefault="001E5B11" w:rsidP="00A32849">
      <w:pPr>
        <w:pStyle w:val="Sansinterligne"/>
        <w:jc w:val="center"/>
        <w:rPr>
          <w:b/>
          <w:bCs/>
          <w:lang w:val="fr-FR"/>
        </w:rPr>
      </w:pPr>
      <w:r w:rsidRPr="00A32849">
        <w:rPr>
          <w:b/>
          <w:bCs/>
          <w:lang w:val="fr-FR"/>
        </w:rPr>
        <w:t>Coordonnateur du Projet</w:t>
      </w:r>
      <w:r w:rsidR="00FE7E4C" w:rsidRPr="00A32849">
        <w:rPr>
          <w:b/>
          <w:bCs/>
          <w:lang w:val="fr-FR"/>
        </w:rPr>
        <w:t xml:space="preserve"> WARDIP</w:t>
      </w:r>
    </w:p>
    <w:p w14:paraId="1F4B51BA" w14:textId="393D2D3B" w:rsidR="007F5622" w:rsidRPr="00A32849" w:rsidRDefault="007F5622" w:rsidP="00A32849">
      <w:pPr>
        <w:pStyle w:val="Sansinterligne"/>
        <w:jc w:val="center"/>
        <w:rPr>
          <w:b/>
          <w:bCs/>
          <w:lang w:val="fr-FR"/>
        </w:rPr>
      </w:pPr>
    </w:p>
    <w:p w14:paraId="5EFD351F" w14:textId="77777777" w:rsidR="00A22212" w:rsidRPr="00877097" w:rsidRDefault="00A22212">
      <w:pPr>
        <w:rPr>
          <w:lang w:val="fr-FR"/>
        </w:rPr>
      </w:pPr>
    </w:p>
    <w:sectPr w:rsidR="00A22212" w:rsidRPr="008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25B9" w14:textId="77777777" w:rsidR="00A32849" w:rsidRDefault="00A32849" w:rsidP="00A32849">
      <w:r>
        <w:separator/>
      </w:r>
    </w:p>
  </w:endnote>
  <w:endnote w:type="continuationSeparator" w:id="0">
    <w:p w14:paraId="3B2B23A7" w14:textId="77777777" w:rsidR="00A32849" w:rsidRDefault="00A32849" w:rsidP="00A3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8FD1" w14:textId="77777777" w:rsidR="00A32849" w:rsidRDefault="00A32849" w:rsidP="00A32849">
      <w:r>
        <w:separator/>
      </w:r>
    </w:p>
  </w:footnote>
  <w:footnote w:type="continuationSeparator" w:id="0">
    <w:p w14:paraId="4484398F" w14:textId="77777777" w:rsidR="00A32849" w:rsidRDefault="00A32849" w:rsidP="00A3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C98"/>
    <w:multiLevelType w:val="hybridMultilevel"/>
    <w:tmpl w:val="45148FC8"/>
    <w:lvl w:ilvl="0" w:tplc="119CDF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557D87"/>
    <w:multiLevelType w:val="hybridMultilevel"/>
    <w:tmpl w:val="E558223E"/>
    <w:lvl w:ilvl="0" w:tplc="7FB238C4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8" w:hanging="360"/>
      </w:pPr>
    </w:lvl>
    <w:lvl w:ilvl="2" w:tplc="040C001B" w:tentative="1">
      <w:start w:val="1"/>
      <w:numFmt w:val="lowerRoman"/>
      <w:lvlText w:val="%3."/>
      <w:lvlJc w:val="right"/>
      <w:pPr>
        <w:ind w:left="1918" w:hanging="180"/>
      </w:pPr>
    </w:lvl>
    <w:lvl w:ilvl="3" w:tplc="040C000F" w:tentative="1">
      <w:start w:val="1"/>
      <w:numFmt w:val="decimal"/>
      <w:lvlText w:val="%4."/>
      <w:lvlJc w:val="left"/>
      <w:pPr>
        <w:ind w:left="2638" w:hanging="360"/>
      </w:pPr>
    </w:lvl>
    <w:lvl w:ilvl="4" w:tplc="040C0019" w:tentative="1">
      <w:start w:val="1"/>
      <w:numFmt w:val="lowerLetter"/>
      <w:lvlText w:val="%5."/>
      <w:lvlJc w:val="left"/>
      <w:pPr>
        <w:ind w:left="3358" w:hanging="360"/>
      </w:pPr>
    </w:lvl>
    <w:lvl w:ilvl="5" w:tplc="040C001B" w:tentative="1">
      <w:start w:val="1"/>
      <w:numFmt w:val="lowerRoman"/>
      <w:lvlText w:val="%6."/>
      <w:lvlJc w:val="right"/>
      <w:pPr>
        <w:ind w:left="4078" w:hanging="180"/>
      </w:pPr>
    </w:lvl>
    <w:lvl w:ilvl="6" w:tplc="040C000F" w:tentative="1">
      <w:start w:val="1"/>
      <w:numFmt w:val="decimal"/>
      <w:lvlText w:val="%7."/>
      <w:lvlJc w:val="left"/>
      <w:pPr>
        <w:ind w:left="4798" w:hanging="360"/>
      </w:pPr>
    </w:lvl>
    <w:lvl w:ilvl="7" w:tplc="040C0019" w:tentative="1">
      <w:start w:val="1"/>
      <w:numFmt w:val="lowerLetter"/>
      <w:lvlText w:val="%8."/>
      <w:lvlJc w:val="left"/>
      <w:pPr>
        <w:ind w:left="5518" w:hanging="360"/>
      </w:pPr>
    </w:lvl>
    <w:lvl w:ilvl="8" w:tplc="040C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924025186">
    <w:abstractNumId w:val="0"/>
  </w:num>
  <w:num w:numId="2" w16cid:durableId="210602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97"/>
    <w:rsid w:val="001D3EDC"/>
    <w:rsid w:val="001E5B11"/>
    <w:rsid w:val="002144B5"/>
    <w:rsid w:val="00256B5B"/>
    <w:rsid w:val="00294DF6"/>
    <w:rsid w:val="003D3832"/>
    <w:rsid w:val="004A5A51"/>
    <w:rsid w:val="004D53E2"/>
    <w:rsid w:val="0052111F"/>
    <w:rsid w:val="00566E72"/>
    <w:rsid w:val="00654C6E"/>
    <w:rsid w:val="006F63B2"/>
    <w:rsid w:val="00755399"/>
    <w:rsid w:val="00780A67"/>
    <w:rsid w:val="007E5987"/>
    <w:rsid w:val="007F5622"/>
    <w:rsid w:val="00833E62"/>
    <w:rsid w:val="00877097"/>
    <w:rsid w:val="0092475A"/>
    <w:rsid w:val="00A05CBF"/>
    <w:rsid w:val="00A16541"/>
    <w:rsid w:val="00A22212"/>
    <w:rsid w:val="00A32849"/>
    <w:rsid w:val="00B62C4D"/>
    <w:rsid w:val="00D10D09"/>
    <w:rsid w:val="00E924C1"/>
    <w:rsid w:val="00EC7755"/>
    <w:rsid w:val="00EE0DF6"/>
    <w:rsid w:val="00EF3BA8"/>
    <w:rsid w:val="00F3562B"/>
    <w:rsid w:val="00FA721C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B7D9"/>
  <w15:chartTrackingRefBased/>
  <w15:docId w15:val="{0E1B0FE8-2A7D-43A2-9F9C-FA9CA093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77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7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7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7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70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70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70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70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7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7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70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70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70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70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70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70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70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7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7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7097"/>
    <w:rPr>
      <w:i/>
      <w:iCs/>
      <w:color w:val="404040" w:themeColor="text1" w:themeTint="BF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figure,Liste 1,Paragraphe 2,- List tir"/>
    <w:basedOn w:val="Normal"/>
    <w:link w:val="ParagraphedelisteCar"/>
    <w:uiPriority w:val="34"/>
    <w:qFormat/>
    <w:rsid w:val="008770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70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7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70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7097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link w:val="Paragraphedeliste"/>
    <w:uiPriority w:val="34"/>
    <w:qFormat/>
    <w:locked/>
    <w:rsid w:val="00877097"/>
  </w:style>
  <w:style w:type="paragraph" w:customStyle="1" w:styleId="Style8">
    <w:name w:val="Style 8"/>
    <w:basedOn w:val="Normal"/>
    <w:rsid w:val="00877097"/>
    <w:pPr>
      <w:spacing w:line="276" w:lineRule="exact"/>
      <w:jc w:val="both"/>
    </w:pPr>
  </w:style>
  <w:style w:type="character" w:styleId="Lienhypertexte">
    <w:name w:val="Hyperlink"/>
    <w:basedOn w:val="Policepardfaut"/>
    <w:uiPriority w:val="99"/>
    <w:qFormat/>
    <w:rsid w:val="00877097"/>
    <w:rPr>
      <w:color w:val="0000FF"/>
      <w:u w:val="single"/>
    </w:rPr>
  </w:style>
  <w:style w:type="paragraph" w:customStyle="1" w:styleId="ChapterNumber">
    <w:name w:val="ChapterNumber"/>
    <w:rsid w:val="0087709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4"/>
      <w:lang w:val="en-US"/>
      <w14:ligatures w14:val="none"/>
    </w:rPr>
  </w:style>
  <w:style w:type="paragraph" w:styleId="Corpsdetexte">
    <w:name w:val="Body Text"/>
    <w:basedOn w:val="Normal"/>
    <w:link w:val="CorpsdetexteCar"/>
    <w:qFormat/>
    <w:rsid w:val="00877097"/>
    <w:pPr>
      <w:widowControl/>
      <w:suppressAutoHyphens/>
      <w:autoSpaceDE/>
      <w:autoSpaceDN/>
    </w:pPr>
    <w:rPr>
      <w:rFonts w:ascii="CG Times" w:hAnsi="CG Times"/>
      <w:spacing w:val="-2"/>
      <w:szCs w:val="20"/>
    </w:rPr>
  </w:style>
  <w:style w:type="character" w:customStyle="1" w:styleId="CorpsdetexteCar">
    <w:name w:val="Corps de texte Car"/>
    <w:basedOn w:val="Policepardfaut"/>
    <w:link w:val="Corpsdetexte"/>
    <w:rsid w:val="00877097"/>
    <w:rPr>
      <w:rFonts w:ascii="CG Times" w:eastAsia="Times New Roman" w:hAnsi="CG Times" w:cs="Times New Roman"/>
      <w:spacing w:val="-2"/>
      <w:kern w:val="0"/>
      <w:sz w:val="24"/>
      <w:szCs w:val="20"/>
      <w:lang w:val="en-US"/>
      <w14:ligatures w14:val="none"/>
    </w:rPr>
  </w:style>
  <w:style w:type="paragraph" w:customStyle="1" w:styleId="BankNormal">
    <w:name w:val="BankNormal"/>
    <w:basedOn w:val="Normal"/>
    <w:rsid w:val="00877097"/>
    <w:pPr>
      <w:widowControl/>
      <w:autoSpaceDE/>
      <w:autoSpaceDN/>
      <w:spacing w:after="240"/>
      <w:jc w:val="both"/>
    </w:pPr>
    <w:rPr>
      <w:szCs w:val="20"/>
      <w:lang w:eastAsia="fr-FR"/>
    </w:rPr>
  </w:style>
  <w:style w:type="table" w:styleId="Grilledutableau">
    <w:name w:val="Table Grid"/>
    <w:basedOn w:val="TableauNormal"/>
    <w:uiPriority w:val="39"/>
    <w:rsid w:val="0087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C77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ansinterligne">
    <w:name w:val="No Spacing"/>
    <w:uiPriority w:val="1"/>
    <w:qFormat/>
    <w:rsid w:val="00FE7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328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284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328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284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0444-4727-4FEF-B964-BE89B955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Lemine Ould Salihi</dc:creator>
  <cp:keywords/>
  <dc:description/>
  <cp:lastModifiedBy>Mohamed Lemine Ould Salihi</cp:lastModifiedBy>
  <cp:revision>10</cp:revision>
  <cp:lastPrinted>2025-04-11T13:18:00Z</cp:lastPrinted>
  <dcterms:created xsi:type="dcterms:W3CDTF">2025-04-11T11:41:00Z</dcterms:created>
  <dcterms:modified xsi:type="dcterms:W3CDTF">2025-04-11T13:18:00Z</dcterms:modified>
</cp:coreProperties>
</file>